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41DE" w14:textId="0627CDED" w:rsidR="00486A80" w:rsidRPr="00A6715F" w:rsidRDefault="00486A80" w:rsidP="00486A80">
      <w:pPr>
        <w:jc w:val="right"/>
      </w:pPr>
      <w:r w:rsidRPr="00A6715F">
        <w:rPr>
          <w:rFonts w:hint="eastAsia"/>
        </w:rPr>
        <w:t>2021年1</w:t>
      </w:r>
      <w:r w:rsidR="00AE7AF8">
        <w:rPr>
          <w:rFonts w:hint="eastAsia"/>
        </w:rPr>
        <w:t>2</w:t>
      </w:r>
      <w:r w:rsidRPr="00A6715F">
        <w:rPr>
          <w:rFonts w:hint="eastAsia"/>
        </w:rPr>
        <w:t>月</w:t>
      </w:r>
      <w:r w:rsidR="00391EB3">
        <w:rPr>
          <w:rFonts w:hint="eastAsia"/>
        </w:rPr>
        <w:t>7</w:t>
      </w:r>
      <w:r w:rsidRPr="00A6715F">
        <w:rPr>
          <w:rFonts w:hint="eastAsia"/>
        </w:rPr>
        <w:t>日</w:t>
      </w:r>
    </w:p>
    <w:p w14:paraId="30931223" w14:textId="28EF0966" w:rsidR="00B60F45" w:rsidRPr="009D6B43" w:rsidRDefault="007D2CC5" w:rsidP="007D2CC5">
      <w:pPr>
        <w:spacing w:line="276" w:lineRule="auto"/>
        <w:jc w:val="center"/>
        <w:rPr>
          <w:b/>
          <w:bCs/>
          <w:sz w:val="28"/>
          <w:szCs w:val="28"/>
        </w:rPr>
      </w:pPr>
      <w:r>
        <w:rPr>
          <w:rFonts w:hint="eastAsia"/>
          <w:b/>
          <w:bCs/>
          <w:sz w:val="28"/>
          <w:szCs w:val="28"/>
        </w:rPr>
        <w:t>政党</w:t>
      </w:r>
      <w:r w:rsidR="00486A80" w:rsidRPr="009D6B43">
        <w:rPr>
          <w:rFonts w:hint="eastAsia"/>
          <w:b/>
          <w:bCs/>
          <w:sz w:val="28"/>
          <w:szCs w:val="28"/>
        </w:rPr>
        <w:t>との政策課題意見交換会のテーマについて</w:t>
      </w:r>
    </w:p>
    <w:p w14:paraId="575A71F2" w14:textId="0F52E75F" w:rsidR="00486A80" w:rsidRPr="009D6B43" w:rsidRDefault="00564815" w:rsidP="00564815">
      <w:pPr>
        <w:spacing w:line="276" w:lineRule="auto"/>
        <w:rPr>
          <w:b/>
          <w:bCs/>
          <w:sz w:val="28"/>
          <w:szCs w:val="28"/>
        </w:rPr>
      </w:pPr>
      <w:r w:rsidRPr="009D6B43">
        <w:rPr>
          <w:rFonts w:hint="eastAsia"/>
          <w:b/>
          <w:bCs/>
          <w:sz w:val="28"/>
          <w:szCs w:val="28"/>
        </w:rPr>
        <w:t>＜国土交通省関連＞</w:t>
      </w:r>
    </w:p>
    <w:p w14:paraId="6DB08751" w14:textId="77777777" w:rsidR="001326BB" w:rsidRPr="00A6715F" w:rsidRDefault="001326BB" w:rsidP="00A6715F">
      <w:pPr>
        <w:rPr>
          <w:b/>
        </w:rPr>
      </w:pPr>
      <w:r w:rsidRPr="00A6715F">
        <w:rPr>
          <w:rFonts w:hint="eastAsia"/>
          <w:b/>
        </w:rPr>
        <w:t>１．港湾運送事業基盤の安定に資する課題</w:t>
      </w:r>
    </w:p>
    <w:p w14:paraId="284431B4" w14:textId="77777777" w:rsidR="001326BB" w:rsidRPr="00A6715F" w:rsidRDefault="001326BB" w:rsidP="00A6715F">
      <w:pPr>
        <w:rPr>
          <w:b/>
        </w:rPr>
      </w:pPr>
    </w:p>
    <w:p w14:paraId="5B3382DB" w14:textId="06E88DF3" w:rsidR="001326BB" w:rsidRPr="00A6715F" w:rsidRDefault="00AB53F1" w:rsidP="00A6715F">
      <w:pPr>
        <w:ind w:left="480" w:hangingChars="200" w:hanging="480"/>
      </w:pPr>
      <w:r w:rsidRPr="00A6715F">
        <w:rPr>
          <w:rFonts w:hint="eastAsia"/>
        </w:rPr>
        <w:t xml:space="preserve">(１)　</w:t>
      </w:r>
      <w:r w:rsidR="001326BB" w:rsidRPr="00A6715F">
        <w:rPr>
          <w:rFonts w:hint="eastAsia"/>
        </w:rPr>
        <w:t>届け出料金さえ維持できない港運事業者が存在する港湾の状況に鑑み、認可料金制度</w:t>
      </w:r>
      <w:r w:rsidR="00442B85" w:rsidRPr="00A6715F">
        <w:rPr>
          <w:rFonts w:hint="eastAsia"/>
        </w:rPr>
        <w:t>復活。</w:t>
      </w:r>
    </w:p>
    <w:p w14:paraId="3A65471C" w14:textId="70953E43" w:rsidR="00AB53F1" w:rsidRDefault="00A6715F" w:rsidP="00A6715F">
      <w:pPr>
        <w:ind w:left="480" w:hangingChars="200" w:hanging="480"/>
        <w:rPr>
          <w:bCs/>
        </w:rPr>
      </w:pPr>
      <w:r w:rsidRPr="00A6715F">
        <w:rPr>
          <w:rFonts w:hint="eastAsia"/>
          <w:bCs/>
        </w:rPr>
        <w:t>(２)</w:t>
      </w:r>
      <w:r>
        <w:rPr>
          <w:rFonts w:hint="eastAsia"/>
          <w:bCs/>
        </w:rPr>
        <w:t xml:space="preserve">　港湾運送事業法の目的する</w:t>
      </w:r>
      <w:r w:rsidR="009D6B43">
        <w:rPr>
          <w:rFonts w:hint="eastAsia"/>
          <w:bCs/>
        </w:rPr>
        <w:t>港湾運送事業の秩序確立に鑑み、免許制の復活。</w:t>
      </w:r>
    </w:p>
    <w:p w14:paraId="42390251" w14:textId="77777777" w:rsidR="009D6B43" w:rsidRPr="00A6715F" w:rsidRDefault="009D6B43" w:rsidP="00A6715F">
      <w:pPr>
        <w:ind w:left="480" w:hangingChars="200" w:hanging="480"/>
        <w:rPr>
          <w:bCs/>
        </w:rPr>
      </w:pPr>
    </w:p>
    <w:p w14:paraId="0F4FB9A2" w14:textId="34BFBA92" w:rsidR="001326BB" w:rsidRPr="00A6715F" w:rsidRDefault="001326BB" w:rsidP="00A6715F">
      <w:pPr>
        <w:ind w:left="482" w:hangingChars="200" w:hanging="482"/>
        <w:rPr>
          <w:b/>
        </w:rPr>
      </w:pPr>
      <w:r w:rsidRPr="00A6715F">
        <w:rPr>
          <w:rFonts w:hint="eastAsia"/>
          <w:b/>
        </w:rPr>
        <w:t>２．港湾政策に係る諸問題</w:t>
      </w:r>
    </w:p>
    <w:p w14:paraId="00912883" w14:textId="77777777" w:rsidR="001326BB" w:rsidRPr="00A6715F" w:rsidRDefault="001326BB" w:rsidP="00A6715F">
      <w:pPr>
        <w:ind w:left="482" w:hangingChars="200" w:hanging="482"/>
        <w:rPr>
          <w:b/>
        </w:rPr>
      </w:pPr>
    </w:p>
    <w:p w14:paraId="5BCBE6F4" w14:textId="4BD4A29F" w:rsidR="001326BB" w:rsidRPr="00A6715F" w:rsidRDefault="00442B85" w:rsidP="00A6715F">
      <w:pPr>
        <w:ind w:left="480" w:hangingChars="200" w:hanging="480"/>
      </w:pPr>
      <w:r w:rsidRPr="00A6715F">
        <w:rPr>
          <w:rFonts w:hint="eastAsia"/>
        </w:rPr>
        <w:t xml:space="preserve">(１)　</w:t>
      </w:r>
      <w:r w:rsidR="001326BB" w:rsidRPr="00A6715F">
        <w:rPr>
          <w:rFonts w:hint="eastAsia"/>
        </w:rPr>
        <w:t>脱石炭（所謂カーボンニュートラル）は社会的動向を受けたエネルギー政策の転換で国策として進められることに伴い、それに関わる港では職域及び雇用に直結</w:t>
      </w:r>
      <w:r w:rsidRPr="00A6715F">
        <w:rPr>
          <w:rFonts w:hint="eastAsia"/>
        </w:rPr>
        <w:t>することから、</w:t>
      </w:r>
      <w:r w:rsidR="001326BB" w:rsidRPr="00A6715F">
        <w:rPr>
          <w:rFonts w:hint="eastAsia"/>
        </w:rPr>
        <w:t>港湾労働者の雇用と就労の確保対策</w:t>
      </w:r>
      <w:r w:rsidRPr="00A6715F">
        <w:rPr>
          <w:rFonts w:hint="eastAsia"/>
        </w:rPr>
        <w:t>。</w:t>
      </w:r>
    </w:p>
    <w:p w14:paraId="386815C7" w14:textId="77777777" w:rsidR="001326BB" w:rsidRPr="00A6715F" w:rsidRDefault="001326BB" w:rsidP="00A6715F">
      <w:pPr>
        <w:ind w:left="480" w:hangingChars="200" w:hanging="480"/>
      </w:pPr>
    </w:p>
    <w:p w14:paraId="0C185142" w14:textId="69EF5BF4" w:rsidR="001326BB" w:rsidRPr="00A6715F" w:rsidRDefault="00442B85" w:rsidP="00A6715F">
      <w:pPr>
        <w:ind w:left="480" w:hangingChars="200" w:hanging="480"/>
      </w:pPr>
      <w:r w:rsidRPr="00A6715F">
        <w:rPr>
          <w:rFonts w:hint="eastAsia"/>
        </w:rPr>
        <w:t xml:space="preserve">(２)　</w:t>
      </w:r>
      <w:r w:rsidR="001326BB" w:rsidRPr="00A6715F">
        <w:rPr>
          <w:rFonts w:hint="eastAsia"/>
        </w:rPr>
        <w:t>AIターミナル構想などによる港湾の自動化政策や制度導入について、</w:t>
      </w:r>
      <w:r w:rsidRPr="00A6715F">
        <w:rPr>
          <w:rFonts w:hint="eastAsia"/>
        </w:rPr>
        <w:t>雇用と就労を確保する対策。</w:t>
      </w:r>
    </w:p>
    <w:p w14:paraId="1EA79641" w14:textId="77777777" w:rsidR="00442B85" w:rsidRPr="00A6715F" w:rsidRDefault="00442B85" w:rsidP="00A6715F">
      <w:pPr>
        <w:ind w:left="480" w:hangingChars="200" w:hanging="480"/>
      </w:pPr>
    </w:p>
    <w:p w14:paraId="2E010405" w14:textId="792FE814" w:rsidR="001326BB" w:rsidRPr="00A6715F" w:rsidRDefault="007B778C" w:rsidP="00A6715F">
      <w:pPr>
        <w:ind w:left="482" w:hangingChars="200" w:hanging="482"/>
        <w:rPr>
          <w:b/>
        </w:rPr>
      </w:pPr>
      <w:r w:rsidRPr="00A6715F">
        <w:rPr>
          <w:rFonts w:hint="eastAsia"/>
          <w:b/>
        </w:rPr>
        <w:t>３</w:t>
      </w:r>
      <w:r w:rsidR="001326BB" w:rsidRPr="00A6715F">
        <w:rPr>
          <w:rFonts w:hint="eastAsia"/>
          <w:b/>
        </w:rPr>
        <w:t>．安全・安心の諸施策</w:t>
      </w:r>
    </w:p>
    <w:p w14:paraId="78040509" w14:textId="77777777" w:rsidR="001326BB" w:rsidRPr="00A6715F" w:rsidRDefault="001326BB" w:rsidP="00A6715F">
      <w:pPr>
        <w:ind w:left="482" w:hangingChars="200" w:hanging="482"/>
        <w:rPr>
          <w:b/>
        </w:rPr>
      </w:pPr>
    </w:p>
    <w:p w14:paraId="7F1F986E" w14:textId="60BC076C" w:rsidR="001326BB" w:rsidRPr="00A6715F" w:rsidRDefault="001326BB" w:rsidP="00A6715F">
      <w:pPr>
        <w:ind w:left="480" w:hangingChars="200" w:hanging="480"/>
      </w:pPr>
      <w:r w:rsidRPr="00A6715F">
        <w:rPr>
          <w:rFonts w:hint="eastAsia"/>
        </w:rPr>
        <w:t>（１）港湾に於ける石綿被災について</w:t>
      </w:r>
      <w:r w:rsidR="007B778C" w:rsidRPr="00A6715F">
        <w:rPr>
          <w:rFonts w:hint="eastAsia"/>
        </w:rPr>
        <w:t>、</w:t>
      </w:r>
      <w:r w:rsidRPr="00A6715F">
        <w:rPr>
          <w:rFonts w:hint="eastAsia"/>
        </w:rPr>
        <w:t>港湾労働石綿被災補償制度を確立。</w:t>
      </w:r>
    </w:p>
    <w:p w14:paraId="7A27B775" w14:textId="77777777" w:rsidR="001326BB" w:rsidRPr="00A6715F" w:rsidRDefault="001326BB" w:rsidP="00A6715F">
      <w:pPr>
        <w:ind w:left="480" w:hangingChars="200" w:hanging="480"/>
      </w:pPr>
    </w:p>
    <w:p w14:paraId="36793F58" w14:textId="0207BBAD" w:rsidR="001326BB" w:rsidRPr="00A6715F" w:rsidRDefault="001326BB" w:rsidP="00A6715F">
      <w:pPr>
        <w:ind w:left="480" w:hangingChars="200" w:hanging="480"/>
      </w:pPr>
      <w:r w:rsidRPr="00A6715F">
        <w:rPr>
          <w:rFonts w:hint="eastAsia"/>
        </w:rPr>
        <w:t>（</w:t>
      </w:r>
      <w:r w:rsidR="007B778C" w:rsidRPr="00A6715F">
        <w:rPr>
          <w:rFonts w:hint="eastAsia"/>
        </w:rPr>
        <w:t>２</w:t>
      </w:r>
      <w:r w:rsidRPr="00A6715F">
        <w:rPr>
          <w:rFonts w:hint="eastAsia"/>
        </w:rPr>
        <w:t>）コロナ禍にあっても、国民生活維持のためエッセンシャルワーカーとして従事する港湾労働者に、今後の</w:t>
      </w:r>
      <w:r w:rsidR="00564815" w:rsidRPr="00A6715F">
        <w:rPr>
          <w:rFonts w:hint="eastAsia"/>
        </w:rPr>
        <w:t>ワクチン</w:t>
      </w:r>
      <w:r w:rsidRPr="00A6715F">
        <w:rPr>
          <w:rFonts w:hint="eastAsia"/>
        </w:rPr>
        <w:t>接種の優先や負担にならないPCR検査体制を整えること。</w:t>
      </w:r>
    </w:p>
    <w:p w14:paraId="35A5BCC8" w14:textId="7A82CDDF" w:rsidR="007B778C" w:rsidRPr="00A6715F" w:rsidRDefault="007B778C" w:rsidP="00564815">
      <w:pPr>
        <w:spacing w:line="276" w:lineRule="auto"/>
        <w:ind w:left="480" w:hangingChars="200" w:hanging="480"/>
      </w:pPr>
    </w:p>
    <w:p w14:paraId="0720E438" w14:textId="774413CC" w:rsidR="00564815" w:rsidRPr="009D6B43" w:rsidRDefault="00564815" w:rsidP="00564815">
      <w:pPr>
        <w:spacing w:line="276" w:lineRule="auto"/>
        <w:ind w:left="562" w:hangingChars="200" w:hanging="562"/>
        <w:rPr>
          <w:b/>
          <w:bCs/>
          <w:sz w:val="28"/>
          <w:szCs w:val="28"/>
        </w:rPr>
      </w:pPr>
      <w:r w:rsidRPr="009D6B43">
        <w:rPr>
          <w:rFonts w:hint="eastAsia"/>
          <w:b/>
          <w:bCs/>
          <w:sz w:val="28"/>
          <w:szCs w:val="28"/>
        </w:rPr>
        <w:t>＜厚生労働省関連＞</w:t>
      </w:r>
    </w:p>
    <w:p w14:paraId="5CB2E9F1" w14:textId="77777777" w:rsidR="007B778C" w:rsidRPr="00A6715F" w:rsidRDefault="007B778C" w:rsidP="00564815">
      <w:pPr>
        <w:adjustRightInd w:val="0"/>
        <w:snapToGrid w:val="0"/>
        <w:spacing w:line="276" w:lineRule="auto"/>
        <w:rPr>
          <w:b/>
          <w:bCs/>
        </w:rPr>
      </w:pPr>
      <w:r w:rsidRPr="00A6715F">
        <w:rPr>
          <w:rFonts w:hint="eastAsia"/>
          <w:b/>
          <w:bCs/>
        </w:rPr>
        <w:t>１．港湾労働法の順守並びに全港・全職種適用拡大について</w:t>
      </w:r>
    </w:p>
    <w:p w14:paraId="56C5B650" w14:textId="37B4E8D7" w:rsidR="007B778C" w:rsidRPr="00A6715F" w:rsidRDefault="007B778C" w:rsidP="00564815">
      <w:pPr>
        <w:adjustRightInd w:val="0"/>
        <w:snapToGrid w:val="0"/>
        <w:spacing w:line="276" w:lineRule="auto"/>
      </w:pPr>
      <w:r w:rsidRPr="00A6715F">
        <w:rPr>
          <w:rFonts w:hint="eastAsia"/>
        </w:rPr>
        <w:t>（１）現行港湾労働法を全港・全職種適用とする法改正を。</w:t>
      </w:r>
    </w:p>
    <w:p w14:paraId="75C7CFC8" w14:textId="77777777" w:rsidR="007B778C" w:rsidRPr="00A6715F" w:rsidRDefault="007B778C" w:rsidP="00564815">
      <w:pPr>
        <w:adjustRightInd w:val="0"/>
        <w:snapToGrid w:val="0"/>
        <w:spacing w:line="276" w:lineRule="auto"/>
      </w:pPr>
    </w:p>
    <w:p w14:paraId="282BE86E" w14:textId="0D47B765" w:rsidR="007B778C" w:rsidRPr="00A6715F" w:rsidRDefault="00564815" w:rsidP="00564815">
      <w:pPr>
        <w:adjustRightInd w:val="0"/>
        <w:snapToGrid w:val="0"/>
        <w:spacing w:line="276" w:lineRule="auto"/>
        <w:rPr>
          <w:b/>
          <w:bCs/>
        </w:rPr>
      </w:pPr>
      <w:r w:rsidRPr="00A6715F">
        <w:rPr>
          <w:rFonts w:hint="eastAsia"/>
          <w:b/>
          <w:bCs/>
        </w:rPr>
        <w:t>２</w:t>
      </w:r>
      <w:r w:rsidR="007B778C" w:rsidRPr="00A6715F">
        <w:rPr>
          <w:rFonts w:hint="eastAsia"/>
          <w:b/>
          <w:bCs/>
        </w:rPr>
        <w:t>．コンテナターミナルゲート作業の職域について</w:t>
      </w:r>
    </w:p>
    <w:p w14:paraId="378086DF" w14:textId="77777777" w:rsidR="007B778C" w:rsidRPr="00A6715F" w:rsidRDefault="007B778C" w:rsidP="00564815">
      <w:pPr>
        <w:adjustRightInd w:val="0"/>
        <w:snapToGrid w:val="0"/>
        <w:spacing w:line="276" w:lineRule="auto"/>
        <w:ind w:leftChars="100" w:left="240" w:firstLineChars="100" w:firstLine="240"/>
      </w:pPr>
      <w:r w:rsidRPr="00A6715F">
        <w:rPr>
          <w:rFonts w:hint="eastAsia"/>
        </w:rPr>
        <w:t>コンテナターミナルゲート作業を港湾労働者の職域として法的措置（港湾労働の定義改定など）について国交省と連携し講じること。具体的にはコンテナターミナルゲート作業は検数検定・関連労働者・港湾荷役の職域として措置すること。</w:t>
      </w:r>
    </w:p>
    <w:p w14:paraId="58C2FAB8" w14:textId="77777777" w:rsidR="007B778C" w:rsidRPr="00A6715F" w:rsidRDefault="007B778C" w:rsidP="00564815">
      <w:pPr>
        <w:adjustRightInd w:val="0"/>
        <w:snapToGrid w:val="0"/>
        <w:spacing w:line="276" w:lineRule="auto"/>
      </w:pPr>
    </w:p>
    <w:p w14:paraId="4B19394A" w14:textId="0E688ECA" w:rsidR="007B778C" w:rsidRPr="00A6715F" w:rsidRDefault="00564815" w:rsidP="00564815">
      <w:pPr>
        <w:adjustRightInd w:val="0"/>
        <w:snapToGrid w:val="0"/>
        <w:spacing w:line="276" w:lineRule="auto"/>
        <w:rPr>
          <w:b/>
          <w:bCs/>
        </w:rPr>
      </w:pPr>
      <w:r w:rsidRPr="00A6715F">
        <w:rPr>
          <w:rFonts w:hint="eastAsia"/>
          <w:b/>
          <w:bCs/>
        </w:rPr>
        <w:lastRenderedPageBreak/>
        <w:t>３</w:t>
      </w:r>
      <w:r w:rsidR="007B778C" w:rsidRPr="00A6715F">
        <w:rPr>
          <w:rFonts w:hint="eastAsia"/>
          <w:b/>
          <w:bCs/>
        </w:rPr>
        <w:t>．港湾労働の石綿被災対策について</w:t>
      </w:r>
    </w:p>
    <w:p w14:paraId="21B79A8F" w14:textId="77777777" w:rsidR="007B778C" w:rsidRPr="00A6715F" w:rsidRDefault="007B778C" w:rsidP="00564815">
      <w:pPr>
        <w:adjustRightInd w:val="0"/>
        <w:snapToGrid w:val="0"/>
        <w:spacing w:line="276" w:lineRule="auto"/>
        <w:ind w:left="480" w:hangingChars="200" w:hanging="480"/>
      </w:pPr>
      <w:r w:rsidRPr="00A6715F">
        <w:rPr>
          <w:rFonts w:hint="eastAsia"/>
        </w:rPr>
        <w:t>（１）特定石綿被害建設業務労働者等に対する給付金制度の改正を踏まえ、港湾労働石綿被災補償制度の確立について国策として救済基金(仮称)の制度の創設すること。</w:t>
      </w:r>
    </w:p>
    <w:p w14:paraId="504C5200" w14:textId="77777777" w:rsidR="007B778C" w:rsidRPr="00A6715F" w:rsidRDefault="007B778C" w:rsidP="00564815">
      <w:pPr>
        <w:adjustRightInd w:val="0"/>
        <w:snapToGrid w:val="0"/>
        <w:spacing w:line="276" w:lineRule="auto"/>
      </w:pPr>
    </w:p>
    <w:p w14:paraId="21A4A1D7" w14:textId="73AA1796" w:rsidR="007B778C" w:rsidRPr="00A6715F" w:rsidRDefault="00564815" w:rsidP="00564815">
      <w:pPr>
        <w:adjustRightInd w:val="0"/>
        <w:snapToGrid w:val="0"/>
        <w:spacing w:line="276" w:lineRule="auto"/>
        <w:rPr>
          <w:b/>
          <w:bCs/>
        </w:rPr>
      </w:pPr>
      <w:r w:rsidRPr="00A6715F">
        <w:rPr>
          <w:rFonts w:hint="eastAsia"/>
          <w:b/>
          <w:bCs/>
        </w:rPr>
        <w:t>４</w:t>
      </w:r>
      <w:r w:rsidR="007B778C" w:rsidRPr="00A6715F">
        <w:rPr>
          <w:rFonts w:hint="eastAsia"/>
          <w:b/>
          <w:bCs/>
        </w:rPr>
        <w:t>．ＩＬＯ（国際労働機関）条約・勧告批准について</w:t>
      </w:r>
    </w:p>
    <w:p w14:paraId="43E18B0C" w14:textId="77777777" w:rsidR="007B778C" w:rsidRPr="00A6715F" w:rsidRDefault="007B778C" w:rsidP="00564815">
      <w:pPr>
        <w:adjustRightInd w:val="0"/>
        <w:snapToGrid w:val="0"/>
        <w:spacing w:line="276" w:lineRule="auto"/>
        <w:ind w:leftChars="171" w:left="410"/>
      </w:pPr>
      <w:r w:rsidRPr="00A6715F">
        <w:rPr>
          <w:rFonts w:hint="eastAsia"/>
        </w:rPr>
        <w:t>ＩＬＯ第１３７号条約（港湾における新しい荷役方法の社会的影響に関する条約）を批准すること。また、これら条約を補足する各勧告（第１４５･１６０号）についても同様の措置を講じること。</w:t>
      </w:r>
    </w:p>
    <w:p w14:paraId="3EA03250" w14:textId="77777777" w:rsidR="007B778C" w:rsidRPr="00A6715F" w:rsidRDefault="007B778C" w:rsidP="00564815">
      <w:pPr>
        <w:adjustRightInd w:val="0"/>
        <w:snapToGrid w:val="0"/>
        <w:spacing w:line="276" w:lineRule="auto"/>
      </w:pPr>
    </w:p>
    <w:p w14:paraId="435A5384" w14:textId="085FB235" w:rsidR="007B778C" w:rsidRPr="00A6715F" w:rsidRDefault="001644FA" w:rsidP="001644FA">
      <w:pPr>
        <w:adjustRightInd w:val="0"/>
        <w:snapToGrid w:val="0"/>
        <w:spacing w:line="276" w:lineRule="auto"/>
        <w:ind w:left="480" w:hangingChars="200" w:hanging="480"/>
        <w:rPr>
          <w:b/>
          <w:bCs/>
        </w:rPr>
      </w:pPr>
      <w:r w:rsidRPr="00A6715F">
        <w:rPr>
          <w:rFonts w:hint="eastAsia"/>
        </w:rPr>
        <w:t>５．</w:t>
      </w:r>
      <w:r w:rsidR="007B778C" w:rsidRPr="00A6715F">
        <w:rPr>
          <w:rFonts w:hint="eastAsia"/>
          <w:b/>
          <w:bCs/>
        </w:rPr>
        <w:t>老朽化石炭火力発電所の削減政策（経産省）に伴い、港湾労働者の雇用・職域が失うことについて国策として安定的措置を講じること。</w:t>
      </w:r>
    </w:p>
    <w:p w14:paraId="106E265A" w14:textId="77777777" w:rsidR="007B778C" w:rsidRPr="007B778C" w:rsidRDefault="007B778C" w:rsidP="00564815">
      <w:pPr>
        <w:spacing w:line="276" w:lineRule="auto"/>
        <w:ind w:left="480" w:hangingChars="200" w:hanging="480"/>
      </w:pPr>
    </w:p>
    <w:p w14:paraId="647FE16B" w14:textId="77777777" w:rsidR="001326BB" w:rsidRDefault="001326BB" w:rsidP="00564815">
      <w:pPr>
        <w:pStyle w:val="a3"/>
        <w:spacing w:line="276" w:lineRule="auto"/>
        <w:rPr>
          <w:rFonts w:ascii="HG丸ｺﾞｼｯｸM-PRO" w:eastAsia="HG丸ｺﾞｼｯｸM-PRO" w:hAnsi="HG丸ｺﾞｼｯｸM-PRO"/>
          <w:sz w:val="24"/>
          <w:szCs w:val="24"/>
        </w:rPr>
      </w:pPr>
      <w:r w:rsidRPr="00564815">
        <w:rPr>
          <w:rFonts w:ascii="HG丸ｺﾞｼｯｸM-PRO" w:eastAsia="HG丸ｺﾞｼｯｸM-PRO" w:hAnsi="HG丸ｺﾞｼｯｸM-PRO" w:hint="eastAsia"/>
          <w:spacing w:val="127"/>
          <w:kern w:val="0"/>
          <w:sz w:val="24"/>
          <w:szCs w:val="24"/>
          <w:fitText w:val="735" w:id="-1682712064"/>
        </w:rPr>
        <w:t>以</w:t>
      </w:r>
      <w:r w:rsidRPr="00564815">
        <w:rPr>
          <w:rFonts w:ascii="HG丸ｺﾞｼｯｸM-PRO" w:eastAsia="HG丸ｺﾞｼｯｸM-PRO" w:hAnsi="HG丸ｺﾞｼｯｸM-PRO" w:hint="eastAsia"/>
          <w:kern w:val="0"/>
          <w:sz w:val="24"/>
          <w:szCs w:val="24"/>
          <w:fitText w:val="735" w:id="-1682712064"/>
        </w:rPr>
        <w:t>上</w:t>
      </w:r>
    </w:p>
    <w:p w14:paraId="7054A491" w14:textId="4D8BC579" w:rsidR="00486A80" w:rsidRPr="001326BB" w:rsidRDefault="00486A80"/>
    <w:sectPr w:rsidR="00486A80" w:rsidRPr="001326BB" w:rsidSect="001326BB">
      <w:pgSz w:w="11906" w:h="16838"/>
      <w:pgMar w:top="1418"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80"/>
    <w:rsid w:val="00037C82"/>
    <w:rsid w:val="001326BB"/>
    <w:rsid w:val="001644FA"/>
    <w:rsid w:val="00391EB3"/>
    <w:rsid w:val="00442B85"/>
    <w:rsid w:val="00486A80"/>
    <w:rsid w:val="00564815"/>
    <w:rsid w:val="0058368B"/>
    <w:rsid w:val="005B31BB"/>
    <w:rsid w:val="007B778C"/>
    <w:rsid w:val="007D2CC5"/>
    <w:rsid w:val="009D6B43"/>
    <w:rsid w:val="00A6715F"/>
    <w:rsid w:val="00AB53F1"/>
    <w:rsid w:val="00AE7AF8"/>
    <w:rsid w:val="00B63535"/>
    <w:rsid w:val="00EC34BD"/>
    <w:rsid w:val="00FA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52E58"/>
  <w15:chartTrackingRefBased/>
  <w15:docId w15:val="{BF5738CA-66D8-4B92-A62B-F3A0E3F8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ＭＳ 明朝"/>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1326BB"/>
    <w:pPr>
      <w:jc w:val="right"/>
    </w:pPr>
    <w:rPr>
      <w:rFonts w:ascii="Century" w:eastAsia="ＭＳ 明朝" w:hAnsi="Century" w:cs="Arial"/>
      <w:sz w:val="21"/>
      <w:szCs w:val="22"/>
    </w:rPr>
  </w:style>
  <w:style w:type="character" w:customStyle="1" w:styleId="a4">
    <w:name w:val="結語 (文字)"/>
    <w:basedOn w:val="a0"/>
    <w:link w:val="a3"/>
    <w:uiPriority w:val="99"/>
    <w:semiHidden/>
    <w:rsid w:val="001326BB"/>
    <w:rPr>
      <w:rFonts w:ascii="Century" w:eastAsia="ＭＳ 明朝" w:hAnsi="Century" w:cs="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9232">
      <w:bodyDiv w:val="1"/>
      <w:marLeft w:val="0"/>
      <w:marRight w:val="0"/>
      <w:marTop w:val="0"/>
      <w:marBottom w:val="0"/>
      <w:divBdr>
        <w:top w:val="none" w:sz="0" w:space="0" w:color="auto"/>
        <w:left w:val="none" w:sz="0" w:space="0" w:color="auto"/>
        <w:bottom w:val="none" w:sz="0" w:space="0" w:color="auto"/>
        <w:right w:val="none" w:sz="0" w:space="0" w:color="auto"/>
      </w:divBdr>
    </w:div>
    <w:div w:id="992174472">
      <w:bodyDiv w:val="1"/>
      <w:marLeft w:val="0"/>
      <w:marRight w:val="0"/>
      <w:marTop w:val="0"/>
      <w:marBottom w:val="0"/>
      <w:divBdr>
        <w:top w:val="none" w:sz="0" w:space="0" w:color="auto"/>
        <w:left w:val="none" w:sz="0" w:space="0" w:color="auto"/>
        <w:bottom w:val="none" w:sz="0" w:space="0" w:color="auto"/>
        <w:right w:val="none" w:sz="0" w:space="0" w:color="auto"/>
      </w:divBdr>
    </w:div>
    <w:div w:id="1468820406">
      <w:bodyDiv w:val="1"/>
      <w:marLeft w:val="0"/>
      <w:marRight w:val="0"/>
      <w:marTop w:val="0"/>
      <w:marBottom w:val="0"/>
      <w:divBdr>
        <w:top w:val="none" w:sz="0" w:space="0" w:color="auto"/>
        <w:left w:val="none" w:sz="0" w:space="0" w:color="auto"/>
        <w:bottom w:val="none" w:sz="0" w:space="0" w:color="auto"/>
        <w:right w:val="none" w:sz="0" w:space="0" w:color="auto"/>
      </w:divBdr>
    </w:div>
    <w:div w:id="18677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9</cp:revision>
  <cp:lastPrinted>2021-12-01T04:26:00Z</cp:lastPrinted>
  <dcterms:created xsi:type="dcterms:W3CDTF">2021-11-22T06:19:00Z</dcterms:created>
  <dcterms:modified xsi:type="dcterms:W3CDTF">2021-12-02T06:08:00Z</dcterms:modified>
</cp:coreProperties>
</file>